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7D9346">
      <w:pPr>
        <w:spacing w:line="580" w:lineRule="exact"/>
        <w:jc w:val="left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</w:p>
    <w:p w14:paraId="74C7C134">
      <w:pPr>
        <w:spacing w:before="312" w:beforeLines="100" w:after="312" w:afterLines="100" w:line="580" w:lineRule="exact"/>
        <w:jc w:val="center"/>
        <w:rPr>
          <w:rFonts w:ascii="方正小标宋_GBK" w:hAnsi="Times New Roman" w:eastAsia="方正小标宋_GBK" w:cs="Times New Roman"/>
          <w:color w:val="auto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color w:val="auto"/>
          <w:sz w:val="44"/>
          <w:szCs w:val="44"/>
        </w:rPr>
        <w:t>老旧</w:t>
      </w:r>
      <w:bookmarkStart w:id="0" w:name="_GoBack"/>
      <w:bookmarkEnd w:id="0"/>
      <w:r>
        <w:rPr>
          <w:rFonts w:hint="eastAsia" w:ascii="方正小标宋_GBK" w:hAnsi="Times New Roman" w:eastAsia="方正小标宋_GBK" w:cs="Times New Roman"/>
          <w:color w:val="auto"/>
          <w:sz w:val="44"/>
          <w:szCs w:val="44"/>
        </w:rPr>
        <w:t>营运货车报废更新补贴标准</w:t>
      </w:r>
    </w:p>
    <w:p w14:paraId="39EC10B1">
      <w:pPr>
        <w:adjustRightInd w:val="0"/>
        <w:snapToGrid w:val="0"/>
        <w:spacing w:line="580" w:lineRule="exact"/>
        <w:ind w:right="-57" w:rightChars="-27" w:firstLine="640" w:firstLineChars="200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一、提前报废老旧营运货车补贴标准见表1。</w:t>
      </w:r>
    </w:p>
    <w:p w14:paraId="0FA7B388">
      <w:pPr>
        <w:adjustRightInd w:val="0"/>
        <w:snapToGrid w:val="0"/>
        <w:spacing w:line="580" w:lineRule="exact"/>
        <w:ind w:right="-57" w:rightChars="-27" w:firstLine="640" w:firstLineChars="200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二、提前报废老旧营运货车，并新购营运货车补贴标准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按以下方法计算：</w:t>
      </w:r>
    </w:p>
    <w:p w14:paraId="5FF74BE6">
      <w:pPr>
        <w:adjustRightInd w:val="0"/>
        <w:snapToGrid w:val="0"/>
        <w:spacing w:line="580" w:lineRule="exact"/>
        <w:ind w:right="-57" w:rightChars="-27" w:firstLine="640" w:firstLineChars="200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报废并新购国六排放标准营运货车补贴=提前报废老旧营运货车补贴+新购国六排放标准营运货车补贴</w:t>
      </w:r>
    </w:p>
    <w:p w14:paraId="3ED1E6B5">
      <w:pPr>
        <w:adjustRightInd w:val="0"/>
        <w:snapToGrid w:val="0"/>
        <w:spacing w:line="580" w:lineRule="exact"/>
        <w:ind w:right="-57" w:rightChars="-27" w:firstLine="640" w:firstLineChars="200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报废并新购新能源货车补贴=提前报废老旧营运货车补贴+新购新能源营运货车补贴</w:t>
      </w:r>
    </w:p>
    <w:p w14:paraId="4ED119CB">
      <w:pPr>
        <w:adjustRightInd w:val="0"/>
        <w:snapToGrid w:val="0"/>
        <w:spacing w:line="580" w:lineRule="exact"/>
        <w:ind w:right="-57" w:rightChars="-27" w:firstLine="640" w:firstLineChars="200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其中，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新购国六排放标准营运货车或新能源营运货车补贴标准见表2。报废老旧营运货车提前报废时间不足1年的，可以申请新购营运货车补贴。</w:t>
      </w:r>
    </w:p>
    <w:p w14:paraId="312DD867">
      <w:pPr>
        <w:adjustRightInd w:val="0"/>
        <w:snapToGrid w:val="0"/>
        <w:spacing w:line="580" w:lineRule="exact"/>
        <w:ind w:right="-57" w:rightChars="-27" w:firstLine="640" w:firstLineChars="200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三、仅新购新能源城市冷链配送货车补贴标准为3.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5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万元/辆。</w:t>
      </w:r>
    </w:p>
    <w:p w14:paraId="6B4B0B8F">
      <w:pPr>
        <w:jc w:val="center"/>
        <w:rPr>
          <w:rFonts w:ascii="Times New Roman" w:hAnsi="Times New Roman" w:eastAsia="黑体"/>
          <w:color w:val="auto"/>
          <w:sz w:val="28"/>
          <w:szCs w:val="28"/>
        </w:rPr>
      </w:pPr>
      <w:r>
        <w:rPr>
          <w:rFonts w:ascii="Times New Roman" w:hAnsi="Times New Roman" w:eastAsia="黑体"/>
          <w:color w:val="auto"/>
          <w:sz w:val="28"/>
          <w:szCs w:val="28"/>
        </w:rPr>
        <w:t>表1</w:t>
      </w:r>
      <w:r>
        <w:rPr>
          <w:rFonts w:hint="eastAsia" w:ascii="Times New Roman" w:hAnsi="Times New Roman" w:eastAsia="黑体"/>
          <w:color w:val="auto"/>
          <w:sz w:val="28"/>
          <w:szCs w:val="28"/>
        </w:rPr>
        <w:t>提前报废老旧营运货车补贴标准</w:t>
      </w:r>
    </w:p>
    <w:tbl>
      <w:tblPr>
        <w:tblStyle w:val="3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2"/>
        <w:gridCol w:w="3650"/>
        <w:gridCol w:w="3097"/>
      </w:tblGrid>
      <w:tr w14:paraId="7524B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AB4F30">
            <w:pPr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车辆类型</w:t>
            </w:r>
          </w:p>
        </w:tc>
        <w:tc>
          <w:tcPr>
            <w:tcW w:w="21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962BB0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提前报废时间</w:t>
            </w:r>
          </w:p>
        </w:tc>
        <w:tc>
          <w:tcPr>
            <w:tcW w:w="1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C1C5C1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补贴标准（万元/辆）</w:t>
            </w:r>
          </w:p>
        </w:tc>
      </w:tr>
      <w:tr w14:paraId="6474D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4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626B7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中型</w:t>
            </w:r>
          </w:p>
        </w:tc>
        <w:tc>
          <w:tcPr>
            <w:tcW w:w="21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A6C4D0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满1年（含）不足</w:t>
            </w:r>
            <w:r>
              <w:rPr>
                <w:rFonts w:hint="eastAsia" w:ascii="Times New Roman" w:hAnsi="Times New Roman" w:eastAsia="仿宋"/>
                <w:color w:val="auto"/>
                <w:kern w:val="0"/>
                <w:sz w:val="24"/>
              </w:rPr>
              <w:t>2</w:t>
            </w: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年</w:t>
            </w:r>
          </w:p>
        </w:tc>
        <w:tc>
          <w:tcPr>
            <w:tcW w:w="1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45DF2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等线"/>
                <w:color w:val="auto"/>
                <w:kern w:val="0"/>
                <w:sz w:val="22"/>
                <w:lang w:bidi="ar"/>
              </w:rPr>
              <w:t>1.0</w:t>
            </w:r>
          </w:p>
        </w:tc>
      </w:tr>
      <w:tr w14:paraId="72AD0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4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E0EB5F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</w:p>
        </w:tc>
        <w:tc>
          <w:tcPr>
            <w:tcW w:w="21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9DA99A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满</w:t>
            </w:r>
            <w:r>
              <w:rPr>
                <w:rFonts w:hint="eastAsia" w:ascii="Times New Roman" w:hAnsi="Times New Roman" w:eastAsia="仿宋"/>
                <w:color w:val="auto"/>
                <w:kern w:val="0"/>
                <w:sz w:val="24"/>
              </w:rPr>
              <w:t>2</w:t>
            </w: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年（含）不足</w:t>
            </w:r>
            <w:r>
              <w:rPr>
                <w:rFonts w:hint="eastAsia" w:ascii="Times New Roman" w:hAnsi="Times New Roman" w:eastAsia="仿宋"/>
                <w:color w:val="auto"/>
                <w:kern w:val="0"/>
                <w:sz w:val="24"/>
              </w:rPr>
              <w:t>4</w:t>
            </w: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年</w:t>
            </w:r>
          </w:p>
        </w:tc>
        <w:tc>
          <w:tcPr>
            <w:tcW w:w="1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19761E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等线"/>
                <w:color w:val="auto"/>
                <w:kern w:val="0"/>
                <w:sz w:val="22"/>
                <w:lang w:bidi="ar"/>
              </w:rPr>
              <w:t>1.8</w:t>
            </w:r>
          </w:p>
        </w:tc>
      </w:tr>
      <w:tr w14:paraId="1E445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4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7B7884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</w:p>
        </w:tc>
        <w:tc>
          <w:tcPr>
            <w:tcW w:w="21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38FA58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满</w:t>
            </w:r>
            <w:r>
              <w:rPr>
                <w:rFonts w:hint="eastAsia" w:ascii="Times New Roman" w:hAnsi="Times New Roman" w:eastAsia="仿宋"/>
                <w:color w:val="auto"/>
                <w:kern w:val="0"/>
                <w:sz w:val="24"/>
              </w:rPr>
              <w:t>4</w:t>
            </w: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年（含）以上</w:t>
            </w:r>
          </w:p>
        </w:tc>
        <w:tc>
          <w:tcPr>
            <w:tcW w:w="1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22C03D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等线"/>
                <w:color w:val="auto"/>
                <w:kern w:val="0"/>
                <w:sz w:val="22"/>
                <w:lang w:bidi="ar"/>
              </w:rPr>
              <w:t>2.5</w:t>
            </w:r>
          </w:p>
        </w:tc>
      </w:tr>
      <w:tr w14:paraId="12AD6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104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B2261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重型</w:t>
            </w:r>
          </w:p>
        </w:tc>
        <w:tc>
          <w:tcPr>
            <w:tcW w:w="21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36053E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满1年（含）不足</w:t>
            </w:r>
            <w:r>
              <w:rPr>
                <w:rFonts w:hint="eastAsia" w:ascii="Times New Roman" w:hAnsi="Times New Roman" w:eastAsia="仿宋"/>
                <w:color w:val="auto"/>
                <w:kern w:val="0"/>
                <w:sz w:val="24"/>
              </w:rPr>
              <w:t>2</w:t>
            </w: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年</w:t>
            </w:r>
          </w:p>
        </w:tc>
        <w:tc>
          <w:tcPr>
            <w:tcW w:w="1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7426FC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等线"/>
                <w:color w:val="auto"/>
                <w:kern w:val="0"/>
                <w:sz w:val="22"/>
                <w:lang w:bidi="ar"/>
              </w:rPr>
              <w:t>1.2</w:t>
            </w:r>
          </w:p>
        </w:tc>
      </w:tr>
      <w:tr w14:paraId="329F4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4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EBEDC1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</w:p>
        </w:tc>
        <w:tc>
          <w:tcPr>
            <w:tcW w:w="21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8714A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满</w:t>
            </w:r>
            <w:r>
              <w:rPr>
                <w:rFonts w:hint="eastAsia" w:ascii="Times New Roman" w:hAnsi="Times New Roman" w:eastAsia="仿宋"/>
                <w:color w:val="auto"/>
                <w:kern w:val="0"/>
                <w:sz w:val="24"/>
              </w:rPr>
              <w:t>2</w:t>
            </w: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年（含）不足</w:t>
            </w:r>
            <w:r>
              <w:rPr>
                <w:rFonts w:hint="eastAsia" w:ascii="Times New Roman" w:hAnsi="Times New Roman" w:eastAsia="仿宋"/>
                <w:color w:val="auto"/>
                <w:kern w:val="0"/>
                <w:sz w:val="24"/>
              </w:rPr>
              <w:t>4</w:t>
            </w: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年</w:t>
            </w:r>
          </w:p>
        </w:tc>
        <w:tc>
          <w:tcPr>
            <w:tcW w:w="1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D00386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hint="eastAsia" w:ascii="Times New Roman" w:hAnsi="Times New Roman" w:eastAsia="等线"/>
                <w:color w:val="auto"/>
                <w:kern w:val="0"/>
                <w:sz w:val="22"/>
                <w:lang w:bidi="ar"/>
              </w:rPr>
              <w:t>3.5</w:t>
            </w:r>
          </w:p>
        </w:tc>
      </w:tr>
      <w:tr w14:paraId="3395E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4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5133DE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</w:p>
        </w:tc>
        <w:tc>
          <w:tcPr>
            <w:tcW w:w="21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95349D">
            <w:pPr>
              <w:widowControl/>
              <w:jc w:val="left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满</w:t>
            </w:r>
            <w:r>
              <w:rPr>
                <w:rFonts w:hint="eastAsia" w:ascii="Times New Roman" w:hAnsi="Times New Roman" w:eastAsia="仿宋"/>
                <w:color w:val="auto"/>
                <w:kern w:val="0"/>
                <w:sz w:val="24"/>
              </w:rPr>
              <w:t>4</w:t>
            </w:r>
            <w:r>
              <w:rPr>
                <w:rFonts w:ascii="Times New Roman" w:hAnsi="Times New Roman" w:eastAsia="仿宋"/>
                <w:color w:val="auto"/>
                <w:kern w:val="0"/>
                <w:sz w:val="24"/>
              </w:rPr>
              <w:t>年（含）以上</w:t>
            </w:r>
          </w:p>
        </w:tc>
        <w:tc>
          <w:tcPr>
            <w:tcW w:w="1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88A0C">
            <w:pPr>
              <w:widowControl/>
              <w:jc w:val="center"/>
              <w:rPr>
                <w:rFonts w:ascii="Times New Roman" w:hAnsi="Times New Roman" w:eastAsia="仿宋"/>
                <w:color w:val="auto"/>
                <w:kern w:val="0"/>
                <w:sz w:val="24"/>
              </w:rPr>
            </w:pPr>
            <w:r>
              <w:rPr>
                <w:rFonts w:hint="eastAsia" w:ascii="Times New Roman" w:hAnsi="Times New Roman" w:eastAsia="等线"/>
                <w:color w:val="auto"/>
                <w:kern w:val="0"/>
                <w:sz w:val="22"/>
                <w:lang w:bidi="ar"/>
              </w:rPr>
              <w:t>4.5</w:t>
            </w:r>
          </w:p>
        </w:tc>
      </w:tr>
    </w:tbl>
    <w:p w14:paraId="3F170C5A">
      <w:pPr>
        <w:jc w:val="center"/>
        <w:rPr>
          <w:rFonts w:ascii="Times New Roman" w:hAnsi="Times New Roman" w:eastAsia="黑体"/>
          <w:color w:val="auto"/>
          <w:sz w:val="28"/>
          <w:szCs w:val="28"/>
        </w:rPr>
      </w:pPr>
      <w:r>
        <w:rPr>
          <w:rFonts w:ascii="Times New Roman" w:hAnsi="Times New Roman" w:eastAsia="黑体"/>
          <w:color w:val="auto"/>
          <w:sz w:val="28"/>
          <w:szCs w:val="28"/>
        </w:rPr>
        <w:t>表2</w:t>
      </w:r>
      <w:r>
        <w:rPr>
          <w:rFonts w:hint="eastAsia" w:ascii="Times New Roman" w:hAnsi="Times New Roman" w:eastAsia="黑体"/>
          <w:color w:val="auto"/>
          <w:sz w:val="28"/>
          <w:szCs w:val="28"/>
        </w:rPr>
        <w:t>新购营运货车补贴标准</w:t>
      </w:r>
    </w:p>
    <w:tbl>
      <w:tblPr>
        <w:tblStyle w:val="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9"/>
        <w:gridCol w:w="1501"/>
        <w:gridCol w:w="3599"/>
        <w:gridCol w:w="2720"/>
      </w:tblGrid>
      <w:tr w14:paraId="1FEE1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1" w:type="pct"/>
            <w:gridSpan w:val="2"/>
            <w:noWrap w:val="0"/>
            <w:vAlign w:val="center"/>
          </w:tcPr>
          <w:p w14:paraId="654E3B86"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车辆类型</w:t>
            </w:r>
          </w:p>
        </w:tc>
        <w:tc>
          <w:tcPr>
            <w:tcW w:w="2112" w:type="pct"/>
            <w:noWrap w:val="0"/>
            <w:vAlign w:val="center"/>
          </w:tcPr>
          <w:p w14:paraId="66B254F2"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新购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国六排放标准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营运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货车补贴标准（万元/辆）</w:t>
            </w:r>
          </w:p>
        </w:tc>
        <w:tc>
          <w:tcPr>
            <w:tcW w:w="1596" w:type="pct"/>
            <w:noWrap w:val="0"/>
            <w:vAlign w:val="center"/>
          </w:tcPr>
          <w:p w14:paraId="181B4BC1"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新购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新能源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营运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货车补贴标准（万元/辆）</w:t>
            </w:r>
          </w:p>
        </w:tc>
      </w:tr>
      <w:tr w14:paraId="0D6B2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1" w:type="pct"/>
            <w:gridSpan w:val="2"/>
            <w:noWrap w:val="0"/>
            <w:vAlign w:val="center"/>
          </w:tcPr>
          <w:p w14:paraId="052D7D59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中型</w:t>
            </w:r>
          </w:p>
        </w:tc>
        <w:tc>
          <w:tcPr>
            <w:tcW w:w="2112" w:type="pct"/>
            <w:noWrap w:val="0"/>
            <w:vAlign w:val="center"/>
          </w:tcPr>
          <w:p w14:paraId="00448DC7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2.5</w:t>
            </w:r>
          </w:p>
        </w:tc>
        <w:tc>
          <w:tcPr>
            <w:tcW w:w="1596" w:type="pct"/>
            <w:noWrap w:val="0"/>
            <w:vAlign w:val="center"/>
          </w:tcPr>
          <w:p w14:paraId="1A38A915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3.5</w:t>
            </w:r>
          </w:p>
        </w:tc>
      </w:tr>
      <w:tr w14:paraId="102BC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0" w:type="pct"/>
            <w:vMerge w:val="restart"/>
            <w:noWrap w:val="0"/>
            <w:vAlign w:val="center"/>
          </w:tcPr>
          <w:p w14:paraId="7BEBA8E9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重型</w:t>
            </w:r>
          </w:p>
        </w:tc>
        <w:tc>
          <w:tcPr>
            <w:tcW w:w="880" w:type="pct"/>
            <w:noWrap w:val="0"/>
            <w:vAlign w:val="center"/>
          </w:tcPr>
          <w:p w14:paraId="178C87A9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2轴</w:t>
            </w:r>
          </w:p>
        </w:tc>
        <w:tc>
          <w:tcPr>
            <w:tcW w:w="2112" w:type="pct"/>
            <w:noWrap w:val="0"/>
            <w:vAlign w:val="center"/>
          </w:tcPr>
          <w:p w14:paraId="633DDDAB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4.0</w:t>
            </w:r>
          </w:p>
        </w:tc>
        <w:tc>
          <w:tcPr>
            <w:tcW w:w="1596" w:type="pct"/>
            <w:noWrap w:val="0"/>
            <w:vAlign w:val="center"/>
          </w:tcPr>
          <w:p w14:paraId="310F1A36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7.0</w:t>
            </w:r>
          </w:p>
        </w:tc>
      </w:tr>
      <w:tr w14:paraId="43681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0" w:type="pct"/>
            <w:vMerge w:val="continue"/>
            <w:noWrap w:val="0"/>
            <w:vAlign w:val="center"/>
          </w:tcPr>
          <w:p w14:paraId="77BC0ACA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</w:p>
        </w:tc>
        <w:tc>
          <w:tcPr>
            <w:tcW w:w="880" w:type="pct"/>
            <w:noWrap w:val="0"/>
            <w:vAlign w:val="center"/>
          </w:tcPr>
          <w:p w14:paraId="352CBABD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3轴</w:t>
            </w:r>
          </w:p>
        </w:tc>
        <w:tc>
          <w:tcPr>
            <w:tcW w:w="2112" w:type="pct"/>
            <w:noWrap w:val="0"/>
            <w:vAlign w:val="center"/>
          </w:tcPr>
          <w:p w14:paraId="6F9FB720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5.5</w:t>
            </w:r>
          </w:p>
        </w:tc>
        <w:tc>
          <w:tcPr>
            <w:tcW w:w="1596" w:type="pct"/>
            <w:noWrap w:val="0"/>
            <w:vAlign w:val="center"/>
          </w:tcPr>
          <w:p w14:paraId="385CA16B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8.5</w:t>
            </w:r>
          </w:p>
        </w:tc>
      </w:tr>
      <w:tr w14:paraId="63710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0" w:type="pct"/>
            <w:vMerge w:val="continue"/>
            <w:noWrap w:val="0"/>
            <w:vAlign w:val="center"/>
          </w:tcPr>
          <w:p w14:paraId="66D7BF40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</w:p>
        </w:tc>
        <w:tc>
          <w:tcPr>
            <w:tcW w:w="880" w:type="pct"/>
            <w:noWrap w:val="0"/>
            <w:vAlign w:val="center"/>
          </w:tcPr>
          <w:p w14:paraId="6FB8CD53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4轴及以上</w:t>
            </w:r>
          </w:p>
        </w:tc>
        <w:tc>
          <w:tcPr>
            <w:tcW w:w="2112" w:type="pct"/>
            <w:noWrap w:val="0"/>
            <w:vAlign w:val="center"/>
          </w:tcPr>
          <w:p w14:paraId="43DA4B39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6.5</w:t>
            </w:r>
          </w:p>
        </w:tc>
        <w:tc>
          <w:tcPr>
            <w:tcW w:w="1596" w:type="pct"/>
            <w:noWrap w:val="0"/>
            <w:vAlign w:val="center"/>
          </w:tcPr>
          <w:p w14:paraId="4FCF21E9">
            <w:pPr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szCs w:val="20"/>
              </w:rPr>
              <w:t>9.5</w:t>
            </w:r>
          </w:p>
        </w:tc>
      </w:tr>
    </w:tbl>
    <w:p w14:paraId="338CE2D1">
      <w:pPr>
        <w:rPr>
          <w:rFonts w:hint="eastAsia"/>
          <w:color w:val="auto"/>
          <w:lang w:val="en-US" w:eastAsia="zh-CN"/>
        </w:rPr>
      </w:pPr>
    </w:p>
    <w:p w14:paraId="373E1C3E">
      <w:pPr>
        <w:rPr>
          <w:rFonts w:hint="eastAsia"/>
          <w:color w:val="auto"/>
          <w:lang w:val="en-US" w:eastAsia="zh-CN"/>
        </w:rPr>
      </w:pPr>
    </w:p>
    <w:p w14:paraId="2243FCD2"/>
    <w:p w14:paraId="0C01B67F"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EA4428">
    <w:pPr>
      <w:pStyle w:val="2"/>
      <w:jc w:val="center"/>
      <w:rPr>
        <w:rFonts w:hint="eastAsia" w:ascii="宋体" w:hAnsi="宋体" w:eastAsia="宋体"/>
        <w:sz w:val="28"/>
      </w:rPr>
    </w:pPr>
    <w:r>
      <w:rPr>
        <w:rFonts w:ascii="宋体" w:hAnsi="宋体" w:eastAsia="宋体"/>
        <w:sz w:val="28"/>
      </w:rPr>
      <w:fldChar w:fldCharType="begin"/>
    </w:r>
    <w:r>
      <w:rPr>
        <w:rFonts w:ascii="宋体" w:hAnsi="宋体" w:eastAsia="宋体"/>
        <w:sz w:val="28"/>
      </w:rPr>
      <w:instrText xml:space="preserve">PAGE   \* MERGEFORMAT</w:instrText>
    </w:r>
    <w:r>
      <w:rPr>
        <w:rFonts w:ascii="宋体" w:hAnsi="宋体" w:eastAsia="宋体"/>
        <w:sz w:val="28"/>
      </w:rPr>
      <w:fldChar w:fldCharType="separate"/>
    </w:r>
    <w:r>
      <w:rPr>
        <w:rFonts w:ascii="宋体" w:hAnsi="宋体" w:eastAsia="宋体"/>
        <w:sz w:val="28"/>
        <w:lang w:val="zh-CN"/>
      </w:rPr>
      <w:t>-</w:t>
    </w:r>
    <w:r>
      <w:rPr>
        <w:rFonts w:ascii="宋体" w:hAnsi="宋体" w:eastAsia="宋体"/>
        <w:sz w:val="28"/>
      </w:rPr>
      <w:t xml:space="preserve"> 2 -</w:t>
    </w:r>
    <w:r>
      <w:rPr>
        <w:rFonts w:ascii="宋体" w:hAnsi="宋体" w:eastAsia="宋体"/>
        <w:sz w:val="28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B16107"/>
    <w:rsid w:val="79B16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39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2025-03-18T09:05:00Z</dcterms:created>
  <dc:creator> </dc:creator>
  <cp:lastModifiedBy> </cp:lastModifiedBy>
  <dcterms:modified xsi:type="dcterms:W3CDTF">2025-03-18T09:05:40Z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73DD5AF06E5D427DA3334FEC8D2A3B1D_11</vt:lpwstr>
  </property>
  <property fmtid="{D5CDD505-2E9C-101B-9397-08002B2CF9AE}" pid="4" name="KSOTemplateDocerSaveRecord">
    <vt:lpwstr>eyJoZGlkIjoiMGY5YzExYzdiNzdjMzk1YTc1NjUwYWI4YjU4MzgyYjEiLCJ1c2VySWQiOiIzNjg3NDIyNzAifQ==</vt:lpwstr>
  </property>
</Properties>
</file>